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10512"/>
      </w:tblGrid>
      <w:tr>
        <w:tc>
          <w:tcPr>
            <w:tcW w:type="dxa" w:w="10512"/>
            <w:shd w:fill="F6E7E2"/>
            <w:tcMar>
              <w:top w:w="150" w:type="dxa"/>
              <w:start w:w="180" w:type="dxa"/>
              <w:bottom w:w="150" w:type="dxa"/>
              <w:end w:w="180" w:type="dxa"/>
            </w:tcMar>
          </w:tcPr>
          <w:p>
            <w:pPr>
              <w:keepLines/>
              <w:jc w:val="center"/>
            </w:pPr>
            <w:r>
              <w:rPr>
                <w:rFonts w:ascii="Aptos Display" w:hAnsi="Aptos Display"/>
                <w:b/>
                <w:color w:val="1C1717"/>
                <w:sz w:val="56"/>
              </w:rPr>
              <w:t>QuadraFade Rx™</w:t>
            </w:r>
          </w:p>
          <w:p>
            <w:pPr>
              <w:keepLines/>
              <w:jc w:val="center"/>
            </w:pPr>
            <w:r>
              <w:rPr>
                <w:b/>
                <w:color w:val="7F4B3E"/>
                <w:sz w:val="20"/>
              </w:rPr>
              <w:t>ADVANCED 5-ACTIVE FORMULA  |  PATIENT FAQ</w:t>
            </w:r>
          </w:p>
          <w:p>
            <w:pPr>
              <w:keepLines/>
              <w:jc w:val="center"/>
            </w:pPr>
            <w:r>
              <w:rPr>
                <w:color w:val="5F5A58"/>
                <w:sz w:val="21"/>
              </w:rPr>
              <w:t>Prescription compounded treatment for stubborn hyperpigmentation, melasma, dark spots and post-inflammatory discoloration</w:t>
            </w:r>
          </w:p>
        </w:tc>
      </w:tr>
    </w:tbl>
    <w:p>
      <w:pPr>
        <w:spacing w:before="140" w:after="140"/>
        <w:jc w:val="center"/>
      </w:pPr>
      <w:r>
        <w:rPr>
          <w:b/>
          <w:color w:val="7F4B3E"/>
          <w:sz w:val="20"/>
        </w:rPr>
        <w:t>Hydroquinone 6%  •  Kojic Acid 4%  •  Hydrocortisone 0.5%  •  Tretinoin 0.025%  •  Tranexamic Acid 4%  (W06)</w:t>
      </w:r>
    </w:p>
    <w:tbl>
      <w:tblPr>
        <w:tblW w:type="auto" w:w="0"/>
        <w:jc w:val="center"/>
        <w:tblLook w:firstColumn="1" w:firstRow="1" w:lastColumn="0" w:lastRow="0" w:noHBand="0" w:noVBand="1" w:val="04A0"/>
      </w:tblPr>
      <w:tblGrid>
        <w:gridCol w:w="10512"/>
      </w:tblGrid>
      <w:tr>
        <w:tc>
          <w:tcPr>
            <w:tcW w:type="dxa" w:w="10512"/>
            <w:shd w:fill="FBF7F4"/>
            <w:tcMar>
              <w:top w:w="120" w:type="dxa"/>
              <w:start w:w="150" w:type="dxa"/>
              <w:bottom w:w="120" w:type="dxa"/>
              <w:end w:w="150" w:type="dxa"/>
            </w:tcMar>
          </w:tcPr>
          <w:p>
            <w:pPr>
              <w:keepLines/>
            </w:pPr>
            <w:r>
              <w:rPr>
                <w:b/>
                <w:color w:val="7F4B3E"/>
              </w:rPr>
              <w:t xml:space="preserve">QUICK ANSWER: </w:t>
            </w:r>
            <w:r>
              <w:t>QuadraFade Rx Advanced combines five pigment-targeting ingredients to reduce excess pigment, improve skin-cell turnover and calm irritation. Noticeable improvement may begin around 4–8 weeks, with the strongest changes commonly seen by about 12 weeks. Daily broad-spectrum SPF 30+ is essential.</w:t>
            </w:r>
          </w:p>
        </w:tc>
      </w:tr>
    </w:tbl>
    <w:p>
      <w:pPr>
        <w:pStyle w:val="Heading1"/>
      </w:pPr>
      <w:r>
        <w:t>How the five ingredients work together</w:t>
      </w:r>
    </w:p>
    <w:tbl>
      <w:tblPr>
        <w:tblStyle w:val="TableGrid"/>
        <w:tblW w:type="auto" w:w="0"/>
        <w:jc w:val="center"/>
        <w:tblLook w:firstColumn="1" w:firstRow="1" w:lastColumn="0" w:lastRow="0" w:noHBand="0" w:noVBand="1" w:val="04A0"/>
      </w:tblPr>
      <w:tblGrid>
        <w:gridCol w:w="3504"/>
        <w:gridCol w:w="3504"/>
        <w:gridCol w:w="3504"/>
      </w:tblGrid>
      <w:tr>
        <w:trPr>
          <w:tblHeader w:val="true"/>
        </w:trPr>
        <w:tc>
          <w:tcPr>
            <w:tcW w:type="dxa" w:w="3504"/>
            <w:shd w:fill="7F4B3E"/>
            <w:tcMar>
              <w:top w:w="90" w:type="dxa"/>
              <w:start w:w="110" w:type="dxa"/>
              <w:bottom w:w="90" w:type="dxa"/>
              <w:end w:w="110" w:type="dxa"/>
            </w:tcMar>
          </w:tcPr>
          <w:p>
            <w:pPr>
              <w:keepLines/>
            </w:pPr>
            <w:r>
              <w:rPr>
                <w:b/>
                <w:color w:val="FFFFFF"/>
                <w:sz w:val="19"/>
              </w:rPr>
              <w:t>Ingredient</w:t>
            </w:r>
          </w:p>
        </w:tc>
        <w:tc>
          <w:tcPr>
            <w:tcW w:type="dxa" w:w="3504"/>
            <w:shd w:fill="7F4B3E"/>
            <w:tcMar>
              <w:top w:w="90" w:type="dxa"/>
              <w:start w:w="110" w:type="dxa"/>
              <w:bottom w:w="90" w:type="dxa"/>
              <w:end w:w="110" w:type="dxa"/>
            </w:tcMar>
          </w:tcPr>
          <w:p>
            <w:pPr>
              <w:keepLines/>
            </w:pPr>
            <w:r>
              <w:rPr>
                <w:b/>
                <w:color w:val="FFFFFF"/>
                <w:sz w:val="19"/>
              </w:rPr>
              <w:t>Primary role</w:t>
            </w:r>
          </w:p>
        </w:tc>
        <w:tc>
          <w:tcPr>
            <w:tcW w:type="dxa" w:w="3504"/>
            <w:shd w:fill="7F4B3E"/>
            <w:tcMar>
              <w:top w:w="90" w:type="dxa"/>
              <w:start w:w="110" w:type="dxa"/>
              <w:bottom w:w="90" w:type="dxa"/>
              <w:end w:w="110" w:type="dxa"/>
            </w:tcMar>
          </w:tcPr>
          <w:p>
            <w:pPr>
              <w:keepLines/>
            </w:pPr>
            <w:r>
              <w:rPr>
                <w:b/>
                <w:color w:val="FFFFFF"/>
                <w:sz w:val="19"/>
              </w:rPr>
              <w:t>Why it matters</w:t>
            </w:r>
          </w:p>
        </w:tc>
      </w:tr>
      <w:tr>
        <w:tc>
          <w:tcPr>
            <w:tcW w:type="dxa" w:w="3504"/>
            <w:tcMar>
              <w:top w:w="90" w:type="dxa"/>
              <w:start w:w="110" w:type="dxa"/>
              <w:bottom w:w="90" w:type="dxa"/>
              <w:end w:w="110" w:type="dxa"/>
            </w:tcMar>
            <w:vAlign w:val="center"/>
            <w:shd w:fill="FCF4F1"/>
          </w:tcPr>
          <w:p>
            <w:pPr>
              <w:keepLines/>
            </w:pPr>
            <w:r>
              <w:rPr>
                <w:b/>
                <w:color w:val="7F4B3E"/>
                <w:sz w:val="18"/>
              </w:rPr>
              <w:t>Hydroquinone 6%</w:t>
            </w:r>
          </w:p>
        </w:tc>
        <w:tc>
          <w:tcPr>
            <w:tcW w:type="dxa" w:w="3504"/>
            <w:tcMar>
              <w:top w:w="90" w:type="dxa"/>
              <w:start w:w="110" w:type="dxa"/>
              <w:bottom w:w="90" w:type="dxa"/>
              <w:end w:w="110" w:type="dxa"/>
            </w:tcMar>
            <w:vAlign w:val="center"/>
            <w:shd w:fill="FCF4F1"/>
          </w:tcPr>
          <w:p>
            <w:pPr>
              <w:keepLines/>
            </w:pPr>
            <w:r>
              <w:rPr>
                <w:sz w:val="18"/>
              </w:rPr>
              <w:t>Suppresses excess pigment production</w:t>
            </w:r>
          </w:p>
        </w:tc>
        <w:tc>
          <w:tcPr>
            <w:tcW w:type="dxa" w:w="3504"/>
            <w:tcMar>
              <w:top w:w="90" w:type="dxa"/>
              <w:start w:w="110" w:type="dxa"/>
              <w:bottom w:w="90" w:type="dxa"/>
              <w:end w:w="110" w:type="dxa"/>
            </w:tcMar>
            <w:vAlign w:val="center"/>
            <w:shd w:fill="FCF4F1"/>
          </w:tcPr>
          <w:p>
            <w:pPr>
              <w:keepLines/>
            </w:pPr>
            <w:r>
              <w:rPr>
                <w:sz w:val="18"/>
              </w:rPr>
              <w:t>Inhibits tyrosinase, helping reduce melanin formation at the source.</w:t>
            </w:r>
          </w:p>
        </w:tc>
      </w:tr>
      <w:tr>
        <w:tc>
          <w:tcPr>
            <w:tcW w:type="dxa" w:w="3504"/>
            <w:tcMar>
              <w:top w:w="90" w:type="dxa"/>
              <w:start w:w="110" w:type="dxa"/>
              <w:bottom w:w="90" w:type="dxa"/>
              <w:end w:w="110" w:type="dxa"/>
            </w:tcMar>
            <w:vAlign w:val="center"/>
          </w:tcPr>
          <w:p>
            <w:pPr>
              <w:keepLines/>
            </w:pPr>
            <w:r>
              <w:rPr>
                <w:b/>
                <w:color w:val="7F4B3E"/>
                <w:sz w:val="18"/>
              </w:rPr>
              <w:t>Kojic Acid 4%</w:t>
            </w:r>
          </w:p>
        </w:tc>
        <w:tc>
          <w:tcPr>
            <w:tcW w:type="dxa" w:w="3504"/>
            <w:tcMar>
              <w:top w:w="90" w:type="dxa"/>
              <w:start w:w="110" w:type="dxa"/>
              <w:bottom w:w="90" w:type="dxa"/>
              <w:end w:w="110" w:type="dxa"/>
            </w:tcMar>
            <w:vAlign w:val="center"/>
          </w:tcPr>
          <w:p>
            <w:pPr>
              <w:keepLines/>
            </w:pPr>
            <w:r>
              <w:rPr>
                <w:sz w:val="18"/>
              </w:rPr>
              <w:t>Additional pigment suppression + brightening</w:t>
            </w:r>
          </w:p>
        </w:tc>
        <w:tc>
          <w:tcPr>
            <w:tcW w:type="dxa" w:w="3504"/>
            <w:tcMar>
              <w:top w:w="90" w:type="dxa"/>
              <w:start w:w="110" w:type="dxa"/>
              <w:bottom w:w="90" w:type="dxa"/>
              <w:end w:w="110" w:type="dxa"/>
            </w:tcMar>
            <w:vAlign w:val="center"/>
          </w:tcPr>
          <w:p>
            <w:pPr>
              <w:keepLines/>
            </w:pPr>
            <w:r>
              <w:rPr>
                <w:sz w:val="18"/>
              </w:rPr>
              <w:t>Works alongside hydroquinone to further reduce pigment formation and improve uneven tone.</w:t>
            </w:r>
          </w:p>
        </w:tc>
      </w:tr>
      <w:tr>
        <w:tc>
          <w:tcPr>
            <w:tcW w:type="dxa" w:w="3504"/>
            <w:tcMar>
              <w:top w:w="90" w:type="dxa"/>
              <w:start w:w="110" w:type="dxa"/>
              <w:bottom w:w="90" w:type="dxa"/>
              <w:end w:w="110" w:type="dxa"/>
            </w:tcMar>
            <w:vAlign w:val="center"/>
            <w:shd w:fill="FCF4F1"/>
          </w:tcPr>
          <w:p>
            <w:pPr>
              <w:keepLines/>
            </w:pPr>
            <w:r>
              <w:rPr>
                <w:b/>
                <w:color w:val="7F4B3E"/>
                <w:sz w:val="18"/>
              </w:rPr>
              <w:t>Tretinoin 0.025%</w:t>
            </w:r>
          </w:p>
        </w:tc>
        <w:tc>
          <w:tcPr>
            <w:tcW w:type="dxa" w:w="3504"/>
            <w:tcMar>
              <w:top w:w="90" w:type="dxa"/>
              <w:start w:w="110" w:type="dxa"/>
              <w:bottom w:w="90" w:type="dxa"/>
              <w:end w:w="110" w:type="dxa"/>
            </w:tcMar>
            <w:vAlign w:val="center"/>
            <w:shd w:fill="FCF4F1"/>
          </w:tcPr>
          <w:p>
            <w:pPr>
              <w:keepLines/>
            </w:pPr>
            <w:r>
              <w:rPr>
                <w:sz w:val="18"/>
              </w:rPr>
              <w:t>Accelerates skin-cell turnover</w:t>
            </w:r>
          </w:p>
        </w:tc>
        <w:tc>
          <w:tcPr>
            <w:tcW w:type="dxa" w:w="3504"/>
            <w:tcMar>
              <w:top w:w="90" w:type="dxa"/>
              <w:start w:w="110" w:type="dxa"/>
              <w:bottom w:w="90" w:type="dxa"/>
              <w:end w:w="110" w:type="dxa"/>
            </w:tcMar>
            <w:vAlign w:val="center"/>
            <w:shd w:fill="FCF4F1"/>
          </w:tcPr>
          <w:p>
            <w:pPr>
              <w:keepLines/>
            </w:pPr>
            <w:r>
              <w:rPr>
                <w:sz w:val="18"/>
              </w:rPr>
              <w:t>Helps pigmented surface cells shed more efficiently and supports penetration of the other active ingredients.</w:t>
            </w:r>
          </w:p>
        </w:tc>
      </w:tr>
      <w:tr>
        <w:tc>
          <w:tcPr>
            <w:tcW w:type="dxa" w:w="3504"/>
            <w:tcMar>
              <w:top w:w="90" w:type="dxa"/>
              <w:start w:w="110" w:type="dxa"/>
              <w:bottom w:w="90" w:type="dxa"/>
              <w:end w:w="110" w:type="dxa"/>
            </w:tcMar>
            <w:vAlign w:val="center"/>
          </w:tcPr>
          <w:p>
            <w:pPr>
              <w:keepLines/>
            </w:pPr>
            <w:r>
              <w:rPr>
                <w:b/>
                <w:color w:val="7F4B3E"/>
                <w:sz w:val="18"/>
              </w:rPr>
              <w:t>Hydrocortisone 0.5%</w:t>
            </w:r>
          </w:p>
        </w:tc>
        <w:tc>
          <w:tcPr>
            <w:tcW w:type="dxa" w:w="3504"/>
            <w:tcMar>
              <w:top w:w="90" w:type="dxa"/>
              <w:start w:w="110" w:type="dxa"/>
              <w:bottom w:w="90" w:type="dxa"/>
              <w:end w:w="110" w:type="dxa"/>
            </w:tcMar>
            <w:vAlign w:val="center"/>
          </w:tcPr>
          <w:p>
            <w:pPr>
              <w:keepLines/>
            </w:pPr>
            <w:r>
              <w:rPr>
                <w:sz w:val="18"/>
              </w:rPr>
              <w:t>Reduces irritation and inflammation</w:t>
            </w:r>
          </w:p>
        </w:tc>
        <w:tc>
          <w:tcPr>
            <w:tcW w:type="dxa" w:w="3504"/>
            <w:tcMar>
              <w:top w:w="90" w:type="dxa"/>
              <w:start w:w="110" w:type="dxa"/>
              <w:bottom w:w="90" w:type="dxa"/>
              <w:end w:w="110" w:type="dxa"/>
            </w:tcMar>
            <w:vAlign w:val="center"/>
          </w:tcPr>
          <w:p>
            <w:pPr>
              <w:keepLines/>
            </w:pPr>
            <w:r>
              <w:rPr>
                <w:sz w:val="18"/>
              </w:rPr>
              <w:t>Helps calm redness, itching and irritation that may occur from the active brightening ingredients.</w:t>
            </w:r>
          </w:p>
        </w:tc>
      </w:tr>
      <w:tr>
        <w:tc>
          <w:tcPr>
            <w:tcW w:type="dxa" w:w="3504"/>
            <w:tcMar>
              <w:top w:w="90" w:type="dxa"/>
              <w:start w:w="110" w:type="dxa"/>
              <w:bottom w:w="90" w:type="dxa"/>
              <w:end w:w="110" w:type="dxa"/>
            </w:tcMar>
            <w:vAlign w:val="center"/>
            <w:shd w:fill="FCF4F1"/>
          </w:tcPr>
          <w:p>
            <w:pPr>
              <w:keepLines/>
            </w:pPr>
            <w:r>
              <w:rPr>
                <w:b/>
                <w:color w:val="7F4B3E"/>
                <w:sz w:val="18"/>
              </w:rPr>
              <w:t>Tranexamic Acid 4%</w:t>
            </w:r>
          </w:p>
        </w:tc>
        <w:tc>
          <w:tcPr>
            <w:tcW w:type="dxa" w:w="3504"/>
            <w:tcMar>
              <w:top w:w="90" w:type="dxa"/>
              <w:start w:w="110" w:type="dxa"/>
              <w:bottom w:w="90" w:type="dxa"/>
              <w:end w:w="110" w:type="dxa"/>
            </w:tcMar>
            <w:vAlign w:val="center"/>
            <w:shd w:fill="FCF4F1"/>
          </w:tcPr>
          <w:p>
            <w:pPr>
              <w:keepLines/>
            </w:pPr>
            <w:r>
              <w:rPr>
                <w:sz w:val="18"/>
              </w:rPr>
              <w:t>Targets pigment signaling and vascular/inflammatory triggers</w:t>
            </w:r>
          </w:p>
        </w:tc>
        <w:tc>
          <w:tcPr>
            <w:tcW w:type="dxa" w:w="3504"/>
            <w:tcMar>
              <w:top w:w="90" w:type="dxa"/>
              <w:start w:w="110" w:type="dxa"/>
              <w:bottom w:w="90" w:type="dxa"/>
              <w:end w:w="110" w:type="dxa"/>
            </w:tcMar>
            <w:vAlign w:val="center"/>
            <w:shd w:fill="FCF4F1"/>
          </w:tcPr>
          <w:p>
            <w:pPr>
              <w:keepLines/>
            </w:pPr>
            <w:r>
              <w:rPr>
                <w:sz w:val="18"/>
              </w:rPr>
              <w:t>Adds a different pathway, making the formula particularly useful for stubborn or recurrent melasma-type pigmentation.</w:t>
            </w:r>
          </w:p>
        </w:tc>
      </w:tr>
    </w:tbl>
    <w:p>
      <w:pPr>
        <w:spacing w:before="120" w:after="40"/>
      </w:pPr>
      <w:r>
        <w:rPr>
          <w:b/>
          <w:color w:val="7F4B3E"/>
          <w:sz w:val="23"/>
        </w:rPr>
        <w:t>What is QuadraFade Rx Advanced?</w:t>
      </w:r>
    </w:p>
    <w:p>
      <w:pPr>
        <w:spacing w:after="80"/>
      </w:pPr>
      <w:r>
        <w:t>QuadraFade Rx Advanced is a prescription compounded topical cream formulated for stubborn hyperpigmentation. It is designed to address excess pigment from several angles at once: reducing new pigment production, interrupting pigment signaling, increasing cell turnover and controlling irritation.</w:t>
      </w:r>
    </w:p>
    <w:p>
      <w:pPr>
        <w:spacing w:before="120" w:after="40"/>
      </w:pPr>
      <w:r>
        <w:rPr>
          <w:b/>
          <w:color w:val="7F4B3E"/>
          <w:sz w:val="23"/>
        </w:rPr>
        <w:t>What is it commonly used for?</w:t>
      </w:r>
    </w:p>
    <w:p>
      <w:pPr>
        <w:spacing w:after="80"/>
      </w:pPr>
      <w:r>
        <w:t>Your provider may prescribe it for melasma, post-inflammatory hyperpigmentation, dark acne marks, sun-related discoloration, age spots, uneven skin tone and dark discoloration left behind after a healed injury or scar. It is intended to fade discoloration; it does not remove raised scar tissue or fill depressed scars.</w:t>
      </w:r>
    </w:p>
    <w:p>
      <w:pPr>
        <w:spacing w:before="120" w:after="40"/>
      </w:pPr>
      <w:r>
        <w:rPr>
          <w:b/>
          <w:color w:val="7F4B3E"/>
          <w:sz w:val="23"/>
        </w:rPr>
        <w:t>What makes the upgraded formula different?</w:t>
      </w:r>
    </w:p>
    <w:p>
      <w:pPr>
        <w:spacing w:after="80"/>
      </w:pPr>
      <w:r>
        <w:t>The upgraded formula adds tranexamic acid 4%. While hydroquinone and kojic acid focus primarily on melanin production and tretinoin accelerates turnover, tranexamic acid targets additional signaling involved in stubborn pigmentation and melasma, including inflammatory and vascular contributors.</w:t>
      </w:r>
    </w:p>
    <w:p>
      <w:pPr>
        <w:spacing w:before="120" w:after="40"/>
      </w:pPr>
      <w:r>
        <w:rPr>
          <w:b/>
          <w:color w:val="7F4B3E"/>
          <w:sz w:val="23"/>
        </w:rPr>
        <w:t>How do I use it?</w:t>
      </w:r>
    </w:p>
    <w:p>
      <w:pPr>
        <w:spacing w:after="80"/>
      </w:pPr>
      <w:r>
        <w:t>Apply 1 pump (about 1/2 gram) or a pea-sized amount to the affected area once nightly at bedtime, or exactly as prescribed. Apply a thin layer to clean, dry skin. Avoid the eyes, lips, inside of the nose, open wounds and severely irritated skin. Wash your hands after application unless the hands are the treatment area.</w:t>
      </w:r>
    </w:p>
    <w:p>
      <w:pPr>
        <w:spacing w:before="120" w:after="40"/>
      </w:pPr>
      <w:r>
        <w:rPr>
          <w:b/>
          <w:color w:val="7F4B3E"/>
          <w:sz w:val="23"/>
        </w:rPr>
        <w:t>Do I need sunscreen?</w:t>
      </w:r>
    </w:p>
    <w:p>
      <w:pPr>
        <w:spacing w:after="80"/>
      </w:pPr>
      <w:r>
        <w:t>Yes. Apply a broad-spectrum sunscreen with SPF 30 or higher every morning and reapply as appropriate with sun exposure. Tretinoin can increase sun sensitivity, and ultraviolet exposure can worsen hyperpigmentation and reverse progress.</w:t>
      </w:r>
    </w:p>
    <w:p>
      <w:pPr>
        <w:pStyle w:val="Heading1"/>
      </w:pPr>
      <w:r>
        <w:t>What should I expect?</w:t>
      </w:r>
    </w:p>
    <w:tbl>
      <w:tblPr>
        <w:tblStyle w:val="TableGrid"/>
        <w:tblW w:type="auto" w:w="0"/>
        <w:jc w:val="center"/>
        <w:tblLook w:firstColumn="1" w:firstRow="1" w:lastColumn="0" w:lastRow="0" w:noHBand="0" w:noVBand="1" w:val="04A0"/>
      </w:tblPr>
      <w:tblGrid>
        <w:gridCol w:w="5256"/>
        <w:gridCol w:w="5256"/>
      </w:tblGrid>
      <w:tr>
        <w:tc>
          <w:tcPr>
            <w:tcW w:type="dxa" w:w="5256"/>
            <w:tcMar>
              <w:top w:w="100" w:type="dxa"/>
              <w:start w:w="110" w:type="dxa"/>
              <w:bottom w:w="100" w:type="dxa"/>
              <w:end w:w="110" w:type="dxa"/>
            </w:tcMar>
            <w:shd w:fill="F6E7E2"/>
          </w:tcPr>
          <w:p>
            <w:pPr>
              <w:keepLines/>
            </w:pPr>
            <w:r>
              <w:rPr>
                <w:b/>
                <w:color w:val="7F4B3E"/>
              </w:rPr>
              <w:t>Weeks 1–3</w:t>
            </w:r>
          </w:p>
        </w:tc>
        <w:tc>
          <w:tcPr>
            <w:tcW w:type="dxa" w:w="5256"/>
            <w:tcMar>
              <w:top w:w="100" w:type="dxa"/>
              <w:start w:w="110" w:type="dxa"/>
              <w:bottom w:w="100" w:type="dxa"/>
              <w:end w:w="110" w:type="dxa"/>
            </w:tcMar>
            <w:shd w:fill="FBF7F4"/>
          </w:tcPr>
          <w:p>
            <w:pPr>
              <w:keepLines/>
            </w:pPr>
            <w:r>
              <w:t>Adjustment phase: dryness, redness, mild stinging or peeling may occur. Significant pigment change may not be visible yet.</w:t>
            </w:r>
          </w:p>
        </w:tc>
      </w:tr>
      <w:tr>
        <w:tc>
          <w:tcPr>
            <w:tcW w:type="dxa" w:w="5256"/>
            <w:tcMar>
              <w:top w:w="100" w:type="dxa"/>
              <w:start w:w="110" w:type="dxa"/>
              <w:bottom w:w="100" w:type="dxa"/>
              <w:end w:w="110" w:type="dxa"/>
            </w:tcMar>
            <w:shd w:fill="F3DDD6"/>
          </w:tcPr>
          <w:p>
            <w:pPr>
              <w:keepLines/>
            </w:pPr>
            <w:r>
              <w:rPr>
                <w:b/>
                <w:color w:val="7F4B3E"/>
              </w:rPr>
              <w:t>Weeks 4–8</w:t>
            </w:r>
          </w:p>
        </w:tc>
        <w:tc>
          <w:tcPr>
            <w:tcW w:type="dxa" w:w="5256"/>
            <w:tcMar>
              <w:top w:w="100" w:type="dxa"/>
              <w:start w:w="110" w:type="dxa"/>
              <w:bottom w:w="100" w:type="dxa"/>
              <w:end w:w="110" w:type="dxa"/>
            </w:tcMar>
            <w:shd w:fill="FBF7F4"/>
          </w:tcPr>
          <w:p>
            <w:pPr>
              <w:keepLines/>
            </w:pPr>
            <w:r>
              <w:t>Initial results: superficial dark spots, newer melasma patches and sun-related discoloration may begin to fade; tone may look brighter and texture smoother.</w:t>
            </w:r>
          </w:p>
        </w:tc>
      </w:tr>
      <w:tr>
        <w:tc>
          <w:tcPr>
            <w:tcW w:type="dxa" w:w="5256"/>
            <w:tcMar>
              <w:top w:w="100" w:type="dxa"/>
              <w:start w:w="110" w:type="dxa"/>
              <w:bottom w:w="100" w:type="dxa"/>
              <w:end w:w="110" w:type="dxa"/>
            </w:tcMar>
            <w:shd w:fill="F6E7E2"/>
          </w:tcPr>
          <w:p>
            <w:pPr>
              <w:keepLines/>
            </w:pPr>
            <w:r>
              <w:rPr>
                <w:b/>
                <w:color w:val="7F4B3E"/>
              </w:rPr>
              <w:t>Weeks 8–12</w:t>
            </w:r>
          </w:p>
        </w:tc>
        <w:tc>
          <w:tcPr>
            <w:tcW w:type="dxa" w:w="5256"/>
            <w:tcMar>
              <w:top w:w="100" w:type="dxa"/>
              <w:start w:w="110" w:type="dxa"/>
              <w:bottom w:w="100" w:type="dxa"/>
              <w:end w:w="110" w:type="dxa"/>
            </w:tcMar>
            <w:shd w:fill="FBF7F4"/>
          </w:tcPr>
          <w:p>
            <w:pPr>
              <w:keepLines/>
            </w:pPr>
            <w:r>
              <w:t>Peak treatment window: deeper or more stubborn hyperpigmentation may show more noticeable improvement with consistent use and sun protection.</w:t>
            </w:r>
          </w:p>
        </w:tc>
      </w:tr>
    </w:tbl>
    <w:p>
      <w:pPr>
        <w:spacing w:before="120" w:after="40"/>
      </w:pPr>
      <w:r>
        <w:rPr>
          <w:b/>
          <w:color w:val="7F4B3E"/>
          <w:sz w:val="23"/>
        </w:rPr>
        <w:t>How long can I use it?</w:t>
      </w:r>
    </w:p>
    <w:p>
      <w:pPr>
        <w:spacing w:after="80"/>
      </w:pPr>
      <w:r>
        <w:t>This formula is intended for a limited, provider-supervised treatment cycle because it contains hydroquinone and hydrocortisone. A typical maximum treatment block is 12 consecutive weeks, followed by reassessment. Your provider may recommend a 1–2 month break or transition to a non-hydroquinone maintenance routine before another cycle. Do not continue beyond the prescribed period without follow-up.</w:t>
      </w:r>
    </w:p>
    <w:p>
      <w:pPr>
        <w:spacing w:before="120" w:after="40"/>
      </w:pPr>
      <w:r>
        <w:rPr>
          <w:b/>
          <w:color w:val="7F4B3E"/>
          <w:sz w:val="23"/>
        </w:rPr>
        <w:t>Why is a treatment break important?</w:t>
      </w:r>
    </w:p>
    <w:p>
      <w:pPr>
        <w:spacing w:after="80"/>
      </w:pPr>
      <w:r>
        <w:t>Long-term or inappropriate hydroquinone use can rarely cause exogenous ochronosis, a difficult-to-treat blue-gray or blue-black skin discoloration. Prolonged corticosteroid exposure can also contribute to skin thinning and other local effects. Cycling the medication under clinician supervision reduces unnecessary long-term exposure.</w:t>
      </w:r>
    </w:p>
    <w:p>
      <w:pPr>
        <w:spacing w:before="120" w:after="40"/>
      </w:pPr>
      <w:r>
        <w:rPr>
          <w:b/>
          <w:color w:val="7F4B3E"/>
          <w:sz w:val="23"/>
        </w:rPr>
        <w:t>What side effects can occur?</w:t>
      </w:r>
    </w:p>
    <w:p>
      <w:pPr>
        <w:spacing w:after="80"/>
      </w:pPr>
      <w:r>
        <w:t>Common effects include dryness, peeling, redness, mild burning or stinging, itching and increased sun sensitivity. These are often most noticeable during the first few weeks. Stop the product and contact your provider if you develop severe burning, blistering, marked swelling, significant skin darkening, persistent irritation or another concerning reaction.</w:t>
      </w:r>
    </w:p>
    <w:p>
      <w:pPr>
        <w:spacing w:before="120" w:after="40"/>
      </w:pPr>
      <w:r>
        <w:rPr>
          <w:b/>
          <w:color w:val="7F4B3E"/>
          <w:sz w:val="23"/>
        </w:rPr>
        <w:t>What should I avoid while using it?</w:t>
      </w:r>
    </w:p>
    <w:p>
      <w:pPr>
        <w:spacing w:after="80"/>
      </w:pPr>
      <w:r>
        <w:t>Unless your provider directs otherwise, avoid layering the treatment area with additional retinoids, strong exfoliating acids, harsh scrubs, chemical peels or other bleaching products. Avoid waxing treated areas because tretinoin may make the skin more fragile. Do not apply to open or infected skin.</w:t>
      </w:r>
    </w:p>
    <w:p>
      <w:pPr>
        <w:spacing w:before="120" w:after="40"/>
      </w:pPr>
      <w:r>
        <w:rPr>
          <w:b/>
          <w:color w:val="7F4B3E"/>
          <w:sz w:val="23"/>
        </w:rPr>
        <w:t>Can I use it if I am pregnant, trying to become pregnant or breastfeeding?</w:t>
      </w:r>
    </w:p>
    <w:p>
      <w:pPr>
        <w:spacing w:after="80"/>
      </w:pPr>
      <w:r>
        <w:t>Tell your provider before treatment. Because the formula contains tretinoin and hydroquinone, an alternative pigmentation treatment is generally selected during pregnancy. Breastfeeding use should also be reviewed individually with your clinician.</w:t>
      </w:r>
    </w:p>
    <w:p>
      <w:pPr>
        <w:spacing w:before="120" w:after="40"/>
      </w:pPr>
      <w:r>
        <w:rPr>
          <w:b/>
          <w:color w:val="7F4B3E"/>
          <w:sz w:val="23"/>
        </w:rPr>
        <w:t>Will QuadraFade Rx completely erase dark spots?</w:t>
      </w:r>
    </w:p>
    <w:p>
      <w:pPr>
        <w:spacing w:after="80"/>
      </w:pPr>
      <w:r>
        <w:t>No treatment can guarantee complete clearing. The goal is progressive lightening of excess pigmentation and a more even skin tone. Older, deeper or recurrent pigmentation may need additional supervised cycles or other dermatologic treatments.</w:t>
      </w:r>
    </w:p>
    <w:p>
      <w:pPr>
        <w:spacing w:before="120" w:after="40"/>
      </w:pPr>
      <w:r>
        <w:rPr>
          <w:b/>
          <w:color w:val="7F4B3E"/>
          <w:sz w:val="23"/>
        </w:rPr>
        <w:t>Is this an over-the-counter cream?</w:t>
      </w:r>
    </w:p>
    <w:p>
      <w:pPr>
        <w:spacing w:after="80"/>
      </w:pPr>
      <w:r>
        <w:t>No. QuadraFade Rx Advanced is a prescription compounded medication. A medical evaluation is required to determine whether the formula is appropriate for your skin type, medical history and current skincare routine.</w:t>
      </w:r>
    </w:p>
    <w:tbl>
      <w:tblPr>
        <w:tblW w:type="auto" w:w="0"/>
        <w:jc w:val="center"/>
        <w:tblLook w:firstColumn="1" w:firstRow="1" w:lastColumn="0" w:lastRow="0" w:noHBand="0" w:noVBand="1" w:val="04A0"/>
      </w:tblPr>
      <w:tblGrid>
        <w:gridCol w:w="10512"/>
      </w:tblGrid>
      <w:tr>
        <w:tc>
          <w:tcPr>
            <w:tcW w:type="dxa" w:w="10512"/>
            <w:shd w:fill="FBE9E6"/>
            <w:tcMar>
              <w:top w:w="120" w:type="dxa"/>
              <w:start w:w="150" w:type="dxa"/>
              <w:bottom w:w="120" w:type="dxa"/>
              <w:end w:w="150" w:type="dxa"/>
            </w:tcMar>
          </w:tcPr>
          <w:p>
            <w:pPr>
              <w:keepLines/>
            </w:pPr>
            <w:r>
              <w:rPr>
                <w:b/>
                <w:color w:val="7F4B3E"/>
                <w:sz w:val="22"/>
              </w:rPr>
              <w:t>IMPORTANT SAFETY REMINDERS</w:t>
            </w:r>
          </w:p>
          <w:p>
            <w:pPr>
              <w:pStyle w:val="ListBullet"/>
              <w:keepLines/>
              <w:spacing w:after="20"/>
            </w:pPr>
            <w:r>
              <w:t>Use only as prescribed and do not apply more frequently to speed results.</w:t>
            </w:r>
          </w:p>
          <w:p>
            <w:pPr>
              <w:pStyle w:val="ListBullet"/>
              <w:keepLines/>
              <w:spacing w:after="20"/>
            </w:pPr>
            <w:r>
              <w:t>Daily broad-spectrum SPF 30+ is part of the treatment plan, not an optional extra.</w:t>
            </w:r>
          </w:p>
          <w:p>
            <w:pPr>
              <w:pStyle w:val="ListBullet"/>
              <w:keepLines/>
              <w:spacing w:after="20"/>
            </w:pPr>
            <w:r>
              <w:t>Do not use continuously beyond the prescribed treatment cycle without provider reassessment.</w:t>
            </w:r>
          </w:p>
          <w:p>
            <w:pPr>
              <w:pStyle w:val="ListBullet"/>
              <w:keepLines/>
              <w:spacing w:after="20"/>
            </w:pPr>
            <w:r>
              <w:t>Report significant irritation, unusual darkening, swelling, blistering or other concerning changes promptly.</w:t>
            </w:r>
          </w:p>
        </w:tc>
      </w:tr>
    </w:tbl>
    <w:p>
      <w:pPr>
        <w:spacing w:before="200"/>
        <w:jc w:val="center"/>
      </w:pPr>
      <w:r>
        <w:rPr>
          <w:b/>
          <w:color w:val="1C1717"/>
          <w:sz w:val="26"/>
        </w:rPr>
        <w:t>Ready to learn more about QuadraFade Rx Advanced?</w:t>
      </w:r>
    </w:p>
    <w:p>
      <w:pPr>
        <w:jc w:val="center"/>
      </w:pPr>
      <w:r>
        <w:rPr>
          <w:b/>
          <w:color w:val="7F4B3E"/>
          <w:sz w:val="21"/>
        </w:rPr>
        <w:t>Call 713-589-5755   •   www.yourchoicewellnesstx.com   •   DM us for more information</w:t>
      </w:r>
    </w:p>
    <w:sectPr w:rsidR="00FC693F" w:rsidRPr="0006063C" w:rsidSect="00034616">
      <w:headerReference w:type="default" r:id="rId9"/>
      <w:footerReference w:type="default" r:id="rId10"/>
      <w:pgSz w:w="12240" w:h="15840"/>
      <w:pgMar w:top="792" w:right="864" w:bottom="79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F5A58"/>
        <w:sz w:val="15"/>
      </w:rPr>
      <w:t>Patient education only. Individual treatment plans, duration and instructions may vary based on clinical evaluation and the dispensing pharmacy label.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ook w:firstColumn="1" w:firstRow="1" w:lastColumn="0" w:lastRow="0" w:noHBand="0" w:noVBand="1" w:val="04A0"/>
    </w:tblPr>
    <w:tblGrid>
      <w:gridCol w:w="7056"/>
      <w:gridCol w:w="3456"/>
    </w:tblGrid>
    <w:tr>
      <w:tc>
        <w:tcPr>
          <w:tcW w:type="dxa" w:w="5256"/>
          <w:tcMar>
            <w:top w:w="40" w:type="dxa"/>
            <w:start w:w="20" w:type="dxa"/>
            <w:bottom w:w="40" w:type="dxa"/>
            <w:end w:w="20" w:type="dxa"/>
          </w:tcMar>
        </w:tcPr>
        <w:p>
          <w:r>
            <w:rPr>
              <w:b/>
              <w:color w:val="1C1717"/>
              <w:sz w:val="28"/>
            </w:rPr>
            <w:t>YOUR CHOICE</w:t>
          </w:r>
          <w:r>
            <w:rPr>
              <w:b/>
              <w:color w:val="B77A6A"/>
              <w:sz w:val="24"/>
            </w:rPr>
            <w:t xml:space="preserve">  WELLNESS CENTER</w:t>
          </w:r>
        </w:p>
      </w:tc>
      <w:tc>
        <w:tcPr>
          <w:tcW w:type="dxa" w:w="5256"/>
          <w:tcMar>
            <w:top w:w="40" w:type="dxa"/>
            <w:start w:w="20" w:type="dxa"/>
            <w:bottom w:w="40" w:type="dxa"/>
            <w:end w:w="20" w:type="dxa"/>
          </w:tcMar>
        </w:tcPr>
        <w:p>
          <w:pPr>
            <w:jc w:val="right"/>
          </w:pPr>
          <w:r>
            <w:rPr>
              <w:color w:val="5F5A58"/>
              <w:sz w:val="17"/>
            </w:rPr>
            <w:t>713-589-5755</w:t>
            <w:br/>
            <w:t>www.yourchoicewellnesstx.com</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ptos" w:hAnsi="Aptos"/>
      <w:color w:val="1C171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1C1717"/>
      <w:sz w:val="34"/>
      <w:szCs w:val="28"/>
    </w:rPr>
  </w:style>
  <w:style w:type="paragraph" w:styleId="Heading2">
    <w:name w:val="heading 2"/>
    <w:basedOn w:val="Normal"/>
    <w:next w:val="Normal"/>
    <w:link w:val="Heading2Char"/>
    <w:uiPriority w:val="9"/>
    <w:unhideWhenUsed/>
    <w:qFormat/>
    <w:rsid w:val="00FC693F"/>
    <w:pPr>
      <w:keepNext/>
      <w:keepLines/>
      <w:spacing w:before="140" w:after="40"/>
      <w:outlineLvl w:val="1"/>
    </w:pPr>
    <w:rPr>
      <w:rFonts w:asciiTheme="majorHAnsi" w:eastAsiaTheme="majorEastAsia" w:hAnsiTheme="majorHAnsi" w:cstheme="majorBidi" w:ascii="Aptos Display" w:hAnsi="Aptos Display"/>
      <w:b/>
      <w:bCs/>
      <w:color w:val="7F4B3E"/>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C171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